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130"/>
        <w:gridCol w:w="1639"/>
        <w:gridCol w:w="1811"/>
        <w:gridCol w:w="2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计划数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学历/专业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内科医师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40周岁以下（1981年1月1日以后出生）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临床医学、中医学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具有执业医师资格证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护理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30周岁以下（1991年1月1日以后出生）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临床护理、中医护理、助产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具有护士执业资格证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麻醉医师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40周岁以下（1981年1月1日以后出生）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麻醉、临床医学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具有执业医师资格证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影像诊断医师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40周岁以下（1981年1月1日以后出生）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临床医学、医学影像学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具有执业医师资格证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（2018.2019.2020届毕业生不作要求）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检验专业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35周岁以下（1986年1月1日以后出生）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检验专业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西药药剂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35周岁以下（1986年1月1日以后出生）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大学专科及以上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vertAlign w:val="baseline"/>
              </w:rPr>
              <w:t>药学及相关专业</w:t>
            </w:r>
          </w:p>
        </w:tc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2021-04-12T03:13:03Z</dcterms:created>
  <dc:creator>Administrator</dc:creator>
  <cp:lastModifiedBy>Administrator</cp:lastModifiedBy>
  <dcterms:modified xsi:type="dcterms:W3CDTF">2021-04-12T03:13:41Z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4A133DAE3CAF484FABCDECF35071A3B5</vt:lpwstr>
  </property>
</Properties>
</file>