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8" w:lineRule="auto"/>
        <w:rPr>
          <w:rFonts w:ascii="Arial"/>
          <w:sz w:val="21"/>
        </w:rPr>
      </w:pPr>
      <w:r/>
    </w:p>
    <w:p>
      <w:pPr>
        <w:ind w:firstLine="554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关于中医（博士、硕士）专业学位领城及代码的说明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119" w:right="49" w:firstLine="840"/>
        <w:spacing w:before="91" w:line="4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5"/>
        </w:rPr>
        <w:t>根据国务院学位委员会《中医专业学位设置方案》（学位</w:t>
      </w:r>
      <w:r>
        <w:rPr>
          <w:rFonts w:ascii="FangSong" w:hAnsi="FangSong" w:eastAsia="FangSong" w:cs="FangSong"/>
          <w:sz w:val="28"/>
          <w:szCs w:val="28"/>
          <w:spacing w:val="6"/>
        </w:rPr>
        <w:t>  </w:t>
      </w:r>
      <w:r>
        <w:rPr>
          <w:rFonts w:ascii="FangSong" w:hAnsi="FangSong" w:eastAsia="FangSong" w:cs="FangSong"/>
          <w:sz w:val="28"/>
          <w:szCs w:val="28"/>
          <w:spacing w:val="12"/>
        </w:rPr>
        <w:t>【2014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FangSong" w:hAnsi="FangSong" w:eastAsia="FangSong" w:cs="FangSong"/>
          <w:sz w:val="28"/>
          <w:szCs w:val="28"/>
          <w:spacing w:val="12"/>
        </w:rPr>
        <w:t>】45</w:t>
      </w:r>
      <w:r>
        <w:rPr>
          <w:rFonts w:ascii="FangSong" w:hAnsi="FangSong" w:eastAsia="FangSong" w:cs="FangSong"/>
          <w:sz w:val="28"/>
          <w:szCs w:val="28"/>
          <w:spacing w:val="-71"/>
        </w:rPr>
        <w:t> </w:t>
      </w:r>
      <w:r>
        <w:rPr>
          <w:rFonts w:ascii="FangSong" w:hAnsi="FangSong" w:eastAsia="FangSong" w:cs="FangSong"/>
          <w:sz w:val="28"/>
          <w:szCs w:val="28"/>
          <w:spacing w:val="12"/>
        </w:rPr>
        <w:t>号）的精神，2015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12"/>
        </w:rPr>
        <w:t>年1月，国务院学位委员会、教育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23"/>
        </w:rPr>
        <w:t>部下发了《关于调整专业学位授予和人才培养目录的通知》（学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2"/>
        </w:rPr>
        <w:t>位【2015】3</w:t>
      </w:r>
      <w:r>
        <w:rPr>
          <w:rFonts w:ascii="FangSong" w:hAnsi="FangSong" w:eastAsia="FangSong" w:cs="FangSong"/>
          <w:sz w:val="28"/>
          <w:szCs w:val="28"/>
          <w:spacing w:val="56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2"/>
        </w:rPr>
        <w:t>号</w:t>
      </w:r>
      <w:r>
        <w:rPr>
          <w:rFonts w:ascii="FangSong" w:hAnsi="FangSong" w:eastAsia="FangSong" w:cs="FangSong"/>
          <w:sz w:val="28"/>
          <w:szCs w:val="28"/>
          <w:spacing w:val="35"/>
        </w:rPr>
        <w:t>），</w:t>
      </w:r>
      <w:r>
        <w:rPr>
          <w:rFonts w:ascii="FangSong" w:hAnsi="FangSong" w:eastAsia="FangSong" w:cs="FangSong"/>
          <w:sz w:val="28"/>
          <w:szCs w:val="28"/>
          <w:spacing w:val="14"/>
          <w:w w:val="102"/>
        </w:rPr>
        <w:t>决定增加中医博士、硕士专业学位，代码为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5"/>
        </w:rPr>
        <w:t>1057</w:t>
      </w:r>
      <w:r>
        <w:rPr>
          <w:rFonts w:ascii="FangSong" w:hAnsi="FangSong" w:eastAsia="FangSong" w:cs="FangSong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5"/>
        </w:rPr>
        <w:t>。按照国务院学位委员会办公室《关于独立设置中医专业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1"/>
        </w:rPr>
        <w:t>学位有关事宜的通知》（学位办【2015</w:t>
      </w:r>
      <w:r>
        <w:rPr>
          <w:rFonts w:ascii="FangSong" w:hAnsi="FangSong" w:eastAsia="FangSong" w:cs="FangSong"/>
          <w:sz w:val="28"/>
          <w:szCs w:val="28"/>
          <w:spacing w:val="-65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1"/>
        </w:rPr>
        <w:t>】4号）精神，全国中医、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28"/>
          <w:w w:val="102"/>
        </w:rPr>
        <w:t>中药学专业学位研究生教育指导委员会确定了中医博士、硕士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29"/>
          <w:w w:val="102"/>
        </w:rPr>
        <w:t>专业学位的领域和代码，即将原临床医学博士、硕士专业学位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29"/>
          <w:w w:val="102"/>
        </w:rPr>
        <w:t>的中医类授权领域和代码相应调整为中医博士、硕士专业学位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4"/>
        </w:rPr>
        <w:t>授权领域和代码，分别为∶中医内科学（105701</w:t>
      </w:r>
      <w:r>
        <w:rPr>
          <w:rFonts w:ascii="FangSong" w:hAnsi="FangSong" w:eastAsia="FangSong" w:cs="FangSong"/>
          <w:sz w:val="28"/>
          <w:szCs w:val="28"/>
          <w:spacing w:val="37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4"/>
        </w:rPr>
        <w:t>）、中医外科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学（105702</w:t>
      </w:r>
      <w:r>
        <w:rPr>
          <w:rFonts w:ascii="FangSong" w:hAnsi="FangSong" w:eastAsia="FangSong" w:cs="FangSong"/>
          <w:sz w:val="28"/>
          <w:szCs w:val="28"/>
          <w:spacing w:val="-56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）、中医骨伤科学（105703</w:t>
      </w:r>
      <w:r>
        <w:rPr>
          <w:rFonts w:ascii="FangSong" w:hAnsi="FangSong" w:eastAsia="FangSong" w:cs="FangSong"/>
          <w:sz w:val="28"/>
          <w:szCs w:val="28"/>
          <w:spacing w:val="-77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）、中医妇科学（105704）、</w:t>
      </w:r>
    </w:p>
    <w:p>
      <w:pPr>
        <w:ind w:firstLine="410"/>
        <w:spacing w:line="60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8"/>
          <w:position w:val="25"/>
        </w:rPr>
        <w:t>中医儿科学（105105</w:t>
      </w:r>
      <w:r>
        <w:rPr>
          <w:rFonts w:ascii="FangSong" w:hAnsi="FangSong" w:eastAsia="FangSong" w:cs="FangSong"/>
          <w:sz w:val="28"/>
          <w:szCs w:val="28"/>
          <w:spacing w:val="43"/>
          <w:position w:val="25"/>
        </w:rPr>
        <w:t> </w:t>
      </w:r>
      <w:r>
        <w:rPr>
          <w:rFonts w:ascii="FangSong" w:hAnsi="FangSong" w:eastAsia="FangSong" w:cs="FangSong"/>
          <w:sz w:val="28"/>
          <w:szCs w:val="28"/>
          <w:spacing w:val="8"/>
          <w:position w:val="25"/>
        </w:rPr>
        <w:t>）中医五官科学（105706</w:t>
      </w:r>
      <w:r>
        <w:rPr>
          <w:rFonts w:ascii="FangSong" w:hAnsi="FangSong" w:eastAsia="FangSong" w:cs="FangSong"/>
          <w:sz w:val="28"/>
          <w:szCs w:val="28"/>
          <w:spacing w:val="23"/>
          <w:position w:val="25"/>
        </w:rPr>
        <w:t> </w:t>
      </w:r>
      <w:r>
        <w:rPr>
          <w:rFonts w:ascii="FangSong" w:hAnsi="FangSong" w:eastAsia="FangSong" w:cs="FangSong"/>
          <w:sz w:val="28"/>
          <w:szCs w:val="28"/>
          <w:spacing w:val="8"/>
          <w:position w:val="25"/>
        </w:rPr>
        <w:t>）、针灸推拿学</w:t>
      </w:r>
    </w:p>
    <w:p>
      <w:pPr>
        <w:ind w:firstLine="270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（105707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）和全科医学（中医</w:t>
      </w:r>
      <w:r>
        <w:rPr>
          <w:rFonts w:ascii="FangSong" w:hAnsi="FangSong" w:eastAsia="FangSong" w:cs="FangSong"/>
          <w:sz w:val="28"/>
          <w:szCs w:val="28"/>
          <w:spacing w:val="45"/>
        </w:rPr>
        <w:t>）（</w:t>
      </w:r>
      <w:r>
        <w:rPr>
          <w:rFonts w:ascii="FangSong" w:hAnsi="FangSong" w:eastAsia="FangSong" w:cs="FangSong"/>
          <w:sz w:val="28"/>
          <w:szCs w:val="28"/>
          <w:spacing w:val="1"/>
        </w:rPr>
        <w:t>105710</w:t>
      </w:r>
      <w:r>
        <w:rPr>
          <w:rFonts w:ascii="FangSong" w:hAnsi="FangSong" w:eastAsia="FangSong" w:cs="FangSong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）。</w:t>
      </w:r>
    </w:p>
    <w:p>
      <w:pPr>
        <w:ind w:firstLine="920"/>
        <w:spacing w:before="220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8"/>
          <w:w w:val="102"/>
        </w:rPr>
        <w:t>特此说明。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3459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2749595</wp:posOffset>
            </wp:positionH>
            <wp:positionV relativeFrom="paragraph">
              <wp:posOffset>-473836</wp:posOffset>
            </wp:positionV>
            <wp:extent cx="1549374" cy="156844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74" cy="156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20"/>
        </w:rPr>
        <w:t>江西省人民政府学位委员会办公室</w:t>
      </w:r>
    </w:p>
    <w:p>
      <w:pPr>
        <w:ind w:firstLine="4590"/>
        <w:spacing w:before="29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2019</w:t>
      </w:r>
      <w:r>
        <w:rPr>
          <w:rFonts w:ascii="FangSong" w:hAnsi="FangSong" w:eastAsia="FangSong" w:cs="FangSong"/>
          <w:sz w:val="28"/>
          <w:szCs w:val="28"/>
          <w:spacing w:val="47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年12</w:t>
      </w:r>
      <w:r>
        <w:rPr>
          <w:rFonts w:ascii="FangSong" w:hAnsi="FangSong" w:eastAsia="FangSong" w:cs="FangSong"/>
          <w:sz w:val="28"/>
          <w:szCs w:val="28"/>
          <w:spacing w:val="6"/>
        </w:rPr>
        <w:t>  </w:t>
      </w:r>
      <w:r>
        <w:rPr>
          <w:rFonts w:ascii="FangSong" w:hAnsi="FangSong" w:eastAsia="FangSong" w:cs="FangSong"/>
          <w:sz w:val="28"/>
          <w:szCs w:val="28"/>
          <w:spacing w:val="-11"/>
        </w:rPr>
        <w:t>月18</w:t>
      </w:r>
      <w:r>
        <w:rPr>
          <w:rFonts w:ascii="FangSong" w:hAnsi="FangSong" w:eastAsia="FangSong" w:cs="FangSong"/>
          <w:sz w:val="28"/>
          <w:szCs w:val="28"/>
          <w:spacing w:val="-5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日</w:t>
      </w:r>
    </w:p>
    <w:sectPr>
      <w:headerReference w:type="default" r:id="rId1"/>
      <w:pgSz w:w="11960" w:h="16860"/>
      <w:pgMar w:top="3400" w:right="1709" w:bottom="0" w:left="1479" w:header="2456" w:footer="0" w:gutter="0"/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"/>
      <w:spacing w:before="1" w:line="203" w:lineRule="auto"/>
      <w:rPr>
        <w:rFonts w:ascii="SimSun" w:hAnsi="SimSun" w:eastAsia="SimSun" w:cs="SimSun"/>
        <w:sz w:val="82"/>
        <w:szCs w:val="82"/>
      </w:rPr>
    </w:pPr>
    <w:r>
      <w:rPr>
        <w:rFonts w:ascii="SimSun" w:hAnsi="SimSun" w:eastAsia="SimSun" w:cs="SimSun"/>
        <w:sz w:val="82"/>
        <w:szCs w:val="82"/>
        <w14:textOutline w14:w="14897" w14:cap="flat" w14:cmpd="sng">
          <w14:solidFill>
            <w14:srgbClr w14:val="000000"/>
          </w14:solidFill>
          <w14:prstDash w14:val="solid"/>
          <w14:miter w14:lim="10"/>
        </w14:textOutline>
        <w:spacing w:val="-60"/>
        <w:w w:val="73"/>
      </w:rPr>
      <w:t>江西省人民政府学位委员会办公室</w:t>
    </w:r>
  </w:p>
  <w:p>
    <w:pPr>
      <w:spacing w:line="40" w:lineRule="exact"/>
      <w:textAlignment w:val="center"/>
      <w:rPr/>
    </w:pPr>
    <w:r>
      <w:drawing>
        <wp:inline distT="0" distB="0" distL="0" distR="0">
          <wp:extent cx="5568985" cy="25440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568985" cy="2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2021-11-18T14:08:40</vt:filetime>
  </op:property>
</op:Properties>
</file>